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黄山市</w:t>
      </w:r>
      <w:r>
        <w:rPr>
          <w:rFonts w:hint="eastAsia" w:ascii="方正小标宋简体" w:hAnsi="方正小标宋简体" w:eastAsia="方正小标宋简体" w:cs="方正小标宋简体"/>
          <w:sz w:val="32"/>
          <w:szCs w:val="32"/>
        </w:rPr>
        <w:t>地方标准编制说明</w:t>
      </w:r>
    </w:p>
    <w:tbl>
      <w:tblPr>
        <w:tblStyle w:val="10"/>
        <w:tblW w:w="8606"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7"/>
        <w:gridCol w:w="2811"/>
        <w:gridCol w:w="1257"/>
        <w:gridCol w:w="1269"/>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6" w:type="dxa"/>
            <w:gridSpan w:val="2"/>
            <w:vAlign w:val="center"/>
          </w:tcPr>
          <w:p>
            <w:pPr>
              <w:jc w:val="center"/>
            </w:pPr>
            <w:r>
              <w:rPr>
                <w:rFonts w:hint="eastAsia"/>
              </w:rPr>
              <w:t>标准名称</w:t>
            </w:r>
          </w:p>
        </w:tc>
        <w:tc>
          <w:tcPr>
            <w:tcW w:w="6890" w:type="dxa"/>
            <w:gridSpan w:val="4"/>
            <w:vAlign w:val="center"/>
          </w:tcPr>
          <w:p>
            <w:pPr>
              <w:ind w:firstLine="420" w:firstLineChars="200"/>
              <w:jc w:val="both"/>
              <w:rPr>
                <w:rFonts w:hint="eastAsia"/>
              </w:rPr>
            </w:pPr>
            <w:r>
              <w:rPr>
                <w:rFonts w:hint="eastAsia" w:ascii="Calibri" w:eastAsia="宋体"/>
                <w:lang w:val="en-US" w:eastAsia="zh-CN"/>
              </w:rPr>
              <w:t>旅游风景道建设指南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pPr>
              <w:ind w:firstLine="315" w:firstLineChars="150"/>
              <w:jc w:val="center"/>
              <w:rPr>
                <w:color w:val="000000"/>
              </w:rPr>
            </w:pPr>
            <w:r>
              <w:rPr>
                <w:rFonts w:hint="eastAsia"/>
                <w:color w:val="000000"/>
              </w:rPr>
              <w:t>任务来源</w:t>
            </w:r>
          </w:p>
          <w:p>
            <w:pPr>
              <w:jc w:val="center"/>
              <w:rPr>
                <w:color w:val="000000"/>
              </w:rPr>
            </w:pPr>
            <w:r>
              <w:rPr>
                <w:rFonts w:hint="eastAsia"/>
                <w:color w:val="000000"/>
              </w:rPr>
              <w:t>（项目计划号）</w:t>
            </w:r>
          </w:p>
        </w:tc>
        <w:tc>
          <w:tcPr>
            <w:tcW w:w="6890" w:type="dxa"/>
            <w:gridSpan w:val="4"/>
            <w:vAlign w:val="center"/>
          </w:tcPr>
          <w:p>
            <w:pPr>
              <w:ind w:firstLine="420" w:firstLineChars="200"/>
              <w:jc w:val="both"/>
              <w:rPr>
                <w:rFonts w:hint="eastAsia"/>
              </w:rPr>
            </w:pPr>
            <w:r>
              <w:rPr>
                <w:rFonts w:hint="eastAsia"/>
              </w:rPr>
              <w:t>黄市监办函〔2023〕277号</w:t>
            </w:r>
          </w:p>
          <w:p>
            <w:pPr>
              <w:ind w:firstLine="420" w:firstLineChars="200"/>
              <w:jc w:val="both"/>
              <w:rPr>
                <w:rFonts w:hint="default" w:ascii="Calibri" w:hAnsi="Calibri" w:eastAsia="宋体" w:cs="Times New Roman"/>
                <w:kern w:val="2"/>
                <w:sz w:val="21"/>
                <w:szCs w:val="24"/>
                <w:highlight w:val="yellow"/>
                <w:lang w:val="en-US" w:eastAsia="zh-CN" w:bidi="ar-SA"/>
              </w:rPr>
            </w:pPr>
            <w:r>
              <w:rPr>
                <w:rFonts w:hint="eastAsia"/>
              </w:rPr>
              <w:t>关于下达2023年度黄山市地方标准制修订计划的通知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pPr>
              <w:jc w:val="center"/>
              <w:rPr>
                <w:color w:val="000000"/>
              </w:rPr>
            </w:pPr>
            <w:r>
              <w:rPr>
                <w:rFonts w:hint="eastAsia"/>
                <w:color w:val="000000"/>
              </w:rPr>
              <w:t>第一起草单位</w:t>
            </w:r>
          </w:p>
          <w:p>
            <w:pPr>
              <w:jc w:val="center"/>
              <w:rPr>
                <w:color w:val="000000"/>
              </w:rPr>
            </w:pPr>
            <w:r>
              <w:rPr>
                <w:rFonts w:hint="eastAsia"/>
                <w:color w:val="000000"/>
              </w:rPr>
              <w:t>（盖章）</w:t>
            </w:r>
          </w:p>
        </w:tc>
        <w:tc>
          <w:tcPr>
            <w:tcW w:w="6890" w:type="dxa"/>
            <w:gridSpan w:val="4"/>
            <w:vAlign w:val="center"/>
          </w:tcPr>
          <w:p>
            <w:pPr>
              <w:ind w:firstLine="420" w:firstLineChars="200"/>
              <w:rPr>
                <w:rFonts w:hint="default" w:ascii="Calibri" w:hAnsi="Calibri" w:eastAsia="宋体" w:cs="Times New Roman"/>
                <w:kern w:val="2"/>
                <w:sz w:val="21"/>
                <w:szCs w:val="24"/>
                <w:highlight w:val="none"/>
                <w:lang w:val="en-US" w:eastAsia="zh-CN" w:bidi="ar-SA"/>
              </w:rPr>
            </w:pPr>
            <w:r>
              <w:rPr>
                <w:rFonts w:hint="eastAsia" w:ascii="Times New Roman" w:hAnsi="Times New Roman" w:cs="Times New Roman"/>
                <w:highlight w:val="none"/>
                <w:lang w:val="en-US" w:eastAsia="zh-CN"/>
              </w:rPr>
              <w:t>黄山市交通运输局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16" w:type="dxa"/>
            <w:gridSpan w:val="2"/>
            <w:vAlign w:val="center"/>
          </w:tcPr>
          <w:p>
            <w:pPr>
              <w:jc w:val="center"/>
              <w:rPr>
                <w:color w:val="000000"/>
                <w:highlight w:val="yellow"/>
              </w:rPr>
            </w:pPr>
            <w:r>
              <w:rPr>
                <w:rFonts w:hint="eastAsia"/>
                <w:color w:val="000000"/>
                <w:highlight w:val="none"/>
              </w:rPr>
              <w:t>单位地址</w:t>
            </w:r>
          </w:p>
        </w:tc>
        <w:tc>
          <w:tcPr>
            <w:tcW w:w="6890" w:type="dxa"/>
            <w:gridSpan w:val="4"/>
            <w:vAlign w:val="top"/>
          </w:tcPr>
          <w:p>
            <w:pPr>
              <w:ind w:firstLine="420" w:firstLineChars="200"/>
              <w:rPr>
                <w:rFonts w:hint="default" w:ascii="Calibri" w:hAnsi="Calibri" w:eastAsia="宋体" w:cs="Times New Roman"/>
                <w:kern w:val="2"/>
                <w:sz w:val="21"/>
                <w:szCs w:val="24"/>
                <w:highlight w:val="none"/>
                <w:lang w:val="en-US" w:eastAsia="zh-CN" w:bidi="ar-SA"/>
              </w:rPr>
            </w:pPr>
            <w:r>
              <w:rPr>
                <w:rFonts w:hint="default" w:ascii="Calibri" w:hAnsi="Calibri" w:eastAsia="宋体" w:cs="Times New Roman"/>
                <w:kern w:val="2"/>
                <w:sz w:val="21"/>
                <w:szCs w:val="24"/>
                <w:highlight w:val="none"/>
                <w:lang w:val="en-US" w:eastAsia="zh-CN" w:bidi="ar-SA"/>
              </w:rPr>
              <w:t>黄山市屯溪区</w:t>
            </w:r>
            <w:r>
              <w:rPr>
                <w:rFonts w:hint="eastAsia" w:cs="Times New Roman"/>
                <w:kern w:val="2"/>
                <w:sz w:val="21"/>
                <w:szCs w:val="24"/>
                <w:highlight w:val="none"/>
                <w:lang w:val="en-US" w:eastAsia="zh-CN" w:bidi="ar-SA"/>
              </w:rPr>
              <w:t>齐云大道27</w:t>
            </w:r>
            <w:bookmarkStart w:id="1" w:name="_GoBack"/>
            <w:bookmarkEnd w:id="1"/>
            <w:r>
              <w:rPr>
                <w:rFonts w:hint="default" w:ascii="Calibri" w:hAnsi="Calibri" w:eastAsia="宋体" w:cs="Times New Roman"/>
                <w:kern w:val="2"/>
                <w:sz w:val="21"/>
                <w:szCs w:val="24"/>
                <w:highlight w:val="none"/>
                <w:lang w:val="en-US" w:eastAsia="zh-CN" w:bidi="ar-SA"/>
              </w:rPr>
              <w:t>号</w:t>
            </w:r>
            <w:r>
              <w:rPr>
                <w:rFonts w:hint="eastAsia" w:cs="Times New Roman"/>
                <w:kern w:val="2"/>
                <w:sz w:val="21"/>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16" w:type="dxa"/>
            <w:gridSpan w:val="2"/>
            <w:vAlign w:val="center"/>
          </w:tcPr>
          <w:p>
            <w:pPr>
              <w:jc w:val="center"/>
            </w:pPr>
            <w:r>
              <w:rPr>
                <w:rFonts w:hint="eastAsia"/>
              </w:rPr>
              <w:t>参与起草单位</w:t>
            </w:r>
          </w:p>
        </w:tc>
        <w:tc>
          <w:tcPr>
            <w:tcW w:w="6890" w:type="dxa"/>
            <w:gridSpan w:val="4"/>
            <w:vAlign w:val="top"/>
          </w:tcPr>
          <w:p>
            <w:pPr>
              <w:pStyle w:val="14"/>
              <w:ind w:firstLine="420" w:firstLineChars="200"/>
              <w:rPr>
                <w:rFonts w:ascii="宋体" w:hAnsi="Times New Roman" w:eastAsia="宋体" w:cs="Times New Roman"/>
                <w:sz w:val="21"/>
                <w:lang w:val="en-US" w:eastAsia="zh-CN" w:bidi="ar-SA"/>
              </w:rPr>
            </w:pPr>
            <w:r>
              <w:rPr>
                <w:rFonts w:hint="default" w:ascii="Times New Roman" w:hAnsi="Times New Roman" w:cs="Times New Roman"/>
                <w:highlight w:val="none"/>
                <w:lang w:val="en-US" w:eastAsia="zh-CN"/>
              </w:rPr>
              <w:t>黄山市交通运输局</w:t>
            </w:r>
            <w:r>
              <w:rPr>
                <w:rFonts w:hint="eastAsia" w:ascii="Times New Roman" w:hAnsi="Times New Roman" w:cs="Times New Roman"/>
                <w:highlight w:val="none"/>
                <w:lang w:val="en-US" w:eastAsia="zh-CN"/>
              </w:rPr>
              <w:t>、黄山市公路管理服务中心、黄山交投产业发展集团有限公司、中国计量大学黄山高质量发展研究院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06" w:type="dxa"/>
            <w:gridSpan w:val="6"/>
            <w:vAlign w:val="center"/>
          </w:tcPr>
          <w:p>
            <w:pPr>
              <w:jc w:val="center"/>
            </w:pPr>
            <w:r>
              <w:rPr>
                <w:rFonts w:hint="eastAsia"/>
              </w:rPr>
              <w:t>（全部起草人，应于标准文本前言中起草人排序一致）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vAlign w:val="center"/>
          </w:tcPr>
          <w:p>
            <w:pPr>
              <w:jc w:val="center"/>
              <w:rPr>
                <w:b/>
                <w:bCs/>
                <w:color w:val="000000"/>
              </w:rPr>
            </w:pPr>
            <w:r>
              <w:rPr>
                <w:rFonts w:hint="eastAsia"/>
                <w:b/>
                <w:bCs/>
                <w:color w:val="000000"/>
              </w:rPr>
              <w:t>序号</w:t>
            </w:r>
          </w:p>
        </w:tc>
        <w:tc>
          <w:tcPr>
            <w:tcW w:w="1007" w:type="dxa"/>
            <w:vAlign w:val="center"/>
          </w:tcPr>
          <w:p>
            <w:pPr>
              <w:jc w:val="center"/>
              <w:rPr>
                <w:b/>
                <w:bCs/>
                <w:color w:val="000000"/>
                <w:highlight w:val="none"/>
              </w:rPr>
            </w:pPr>
            <w:r>
              <w:rPr>
                <w:rFonts w:hint="eastAsia"/>
                <w:b/>
                <w:bCs/>
                <w:color w:val="000000"/>
                <w:highlight w:val="none"/>
              </w:rPr>
              <w:t>姓名</w:t>
            </w:r>
          </w:p>
        </w:tc>
        <w:tc>
          <w:tcPr>
            <w:tcW w:w="2811" w:type="dxa"/>
            <w:vAlign w:val="center"/>
          </w:tcPr>
          <w:p>
            <w:pPr>
              <w:jc w:val="center"/>
              <w:rPr>
                <w:b/>
                <w:bCs/>
                <w:color w:val="000000"/>
                <w:highlight w:val="none"/>
              </w:rPr>
            </w:pPr>
            <w:r>
              <w:rPr>
                <w:rFonts w:hint="eastAsia"/>
                <w:b/>
                <w:bCs/>
                <w:color w:val="000000"/>
                <w:highlight w:val="none"/>
              </w:rPr>
              <w:t>单位</w:t>
            </w:r>
          </w:p>
        </w:tc>
        <w:tc>
          <w:tcPr>
            <w:tcW w:w="1257" w:type="dxa"/>
            <w:vAlign w:val="center"/>
          </w:tcPr>
          <w:p>
            <w:pPr>
              <w:jc w:val="center"/>
              <w:rPr>
                <w:b/>
                <w:bCs/>
                <w:color w:val="000000"/>
              </w:rPr>
            </w:pPr>
            <w:r>
              <w:rPr>
                <w:rFonts w:hint="eastAsia"/>
                <w:b/>
                <w:bCs/>
                <w:color w:val="000000"/>
              </w:rPr>
              <w:t>职务</w:t>
            </w:r>
          </w:p>
        </w:tc>
        <w:tc>
          <w:tcPr>
            <w:tcW w:w="1269" w:type="dxa"/>
            <w:vAlign w:val="center"/>
          </w:tcPr>
          <w:p>
            <w:pPr>
              <w:jc w:val="center"/>
              <w:rPr>
                <w:b/>
                <w:bCs/>
                <w:color w:val="000000"/>
              </w:rPr>
            </w:pPr>
            <w:r>
              <w:rPr>
                <w:rFonts w:hint="eastAsia"/>
                <w:b/>
                <w:bCs/>
                <w:color w:val="000000"/>
              </w:rPr>
              <w:t>职称</w:t>
            </w:r>
          </w:p>
        </w:tc>
        <w:tc>
          <w:tcPr>
            <w:tcW w:w="1553" w:type="dxa"/>
            <w:vAlign w:val="center"/>
          </w:tcPr>
          <w:p>
            <w:pPr>
              <w:jc w:val="center"/>
              <w:rPr>
                <w:b/>
                <w:bCs/>
                <w:color w:val="000000"/>
              </w:rPr>
            </w:pPr>
            <w:r>
              <w:rPr>
                <w:rFonts w:hint="eastAsia"/>
                <w:b/>
                <w:bCs/>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jc w:val="left"/>
            </w:pPr>
            <w:r>
              <w:rPr>
                <w:rFonts w:hint="eastAsia"/>
              </w:rPr>
              <w:t>1</w:t>
            </w:r>
          </w:p>
        </w:tc>
        <w:tc>
          <w:tcPr>
            <w:tcW w:w="1007" w:type="dxa"/>
            <w:vAlign w:val="center"/>
          </w:tcPr>
          <w:p>
            <w:pPr>
              <w:jc w:val="left"/>
              <w:rPr>
                <w:highlight w:val="yellow"/>
              </w:rPr>
            </w:pPr>
          </w:p>
        </w:tc>
        <w:tc>
          <w:tcPr>
            <w:tcW w:w="2811" w:type="dxa"/>
            <w:vAlign w:val="center"/>
          </w:tcPr>
          <w:p>
            <w:pPr>
              <w:pStyle w:val="15"/>
              <w:ind w:firstLine="0" w:firstLineChars="0"/>
              <w:jc w:val="left"/>
              <w:rPr>
                <w:rFonts w:hint="default" w:ascii="Calibri" w:hAnsi="Calibri" w:eastAsia="宋体"/>
                <w:kern w:val="2"/>
                <w:szCs w:val="24"/>
                <w:highlight w:val="yellow"/>
                <w:lang w:val="en-US" w:eastAsia="zh-CN"/>
              </w:rPr>
            </w:pPr>
          </w:p>
        </w:tc>
        <w:tc>
          <w:tcPr>
            <w:tcW w:w="1257" w:type="dxa"/>
            <w:vAlign w:val="center"/>
          </w:tcPr>
          <w:p/>
        </w:tc>
        <w:tc>
          <w:tcPr>
            <w:tcW w:w="1269" w:type="dxa"/>
            <w:vAlign w:val="center"/>
          </w:tcPr>
          <w:p/>
        </w:tc>
        <w:tc>
          <w:tcPr>
            <w:tcW w:w="155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rPr>
              <w:t>2</w:t>
            </w:r>
          </w:p>
        </w:tc>
        <w:tc>
          <w:tcPr>
            <w:tcW w:w="1007" w:type="dxa"/>
            <w:vAlign w:val="center"/>
          </w:tcPr>
          <w:p>
            <w:pPr>
              <w:jc w:val="left"/>
              <w:rPr>
                <w:rFonts w:hint="eastAsia"/>
              </w:rPr>
            </w:pPr>
          </w:p>
        </w:tc>
        <w:tc>
          <w:tcPr>
            <w:tcW w:w="2811" w:type="dxa"/>
            <w:vAlign w:val="center"/>
          </w:tcPr>
          <w:p>
            <w:pPr>
              <w:pStyle w:val="15"/>
              <w:ind w:firstLine="0" w:firstLineChars="0"/>
              <w:jc w:val="left"/>
              <w:rPr>
                <w:rFonts w:hint="eastAsia"/>
              </w:rPr>
            </w:pPr>
          </w:p>
        </w:tc>
        <w:tc>
          <w:tcPr>
            <w:tcW w:w="1257" w:type="dxa"/>
            <w:vAlign w:val="center"/>
          </w:tcPr>
          <w:p/>
        </w:tc>
        <w:tc>
          <w:tcPr>
            <w:tcW w:w="1269" w:type="dxa"/>
            <w:vAlign w:val="center"/>
          </w:tcPr>
          <w:p/>
        </w:tc>
        <w:tc>
          <w:tcPr>
            <w:tcW w:w="155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pPr>
            <w:r>
              <w:rPr>
                <w:rFonts w:hint="eastAsia"/>
              </w:rPr>
              <w:t>3</w:t>
            </w:r>
          </w:p>
        </w:tc>
        <w:tc>
          <w:tcPr>
            <w:tcW w:w="1007" w:type="dxa"/>
            <w:vAlign w:val="center"/>
          </w:tcPr>
          <w:p>
            <w:pPr>
              <w:jc w:val="left"/>
            </w:pPr>
          </w:p>
        </w:tc>
        <w:tc>
          <w:tcPr>
            <w:tcW w:w="2811" w:type="dxa"/>
            <w:vAlign w:val="center"/>
          </w:tcPr>
          <w:p>
            <w:pPr>
              <w:jc w:val="left"/>
            </w:pPr>
          </w:p>
        </w:tc>
        <w:tc>
          <w:tcPr>
            <w:tcW w:w="1257" w:type="dxa"/>
            <w:vAlign w:val="center"/>
          </w:tcPr>
          <w:p/>
        </w:tc>
        <w:tc>
          <w:tcPr>
            <w:tcW w:w="1269" w:type="dxa"/>
            <w:vAlign w:val="center"/>
          </w:tcPr>
          <w:p/>
        </w:tc>
        <w:tc>
          <w:tcPr>
            <w:tcW w:w="155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rPr>
            </w:pPr>
            <w:r>
              <w:rPr>
                <w:rFonts w:hint="eastAsia"/>
              </w:rPr>
              <w:t>4</w:t>
            </w:r>
          </w:p>
        </w:tc>
        <w:tc>
          <w:tcPr>
            <w:tcW w:w="1007" w:type="dxa"/>
            <w:vAlign w:val="center"/>
          </w:tcPr>
          <w:p>
            <w:pPr>
              <w:jc w:val="left"/>
              <w:rPr>
                <w:rFonts w:hint="eastAsia"/>
              </w:rPr>
            </w:pPr>
          </w:p>
        </w:tc>
        <w:tc>
          <w:tcPr>
            <w:tcW w:w="2811" w:type="dxa"/>
            <w:vAlign w:val="center"/>
          </w:tcPr>
          <w:p>
            <w:pPr>
              <w:jc w:val="left"/>
              <w:rPr>
                <w:rFonts w:hint="eastAsia" w:eastAsia="宋体"/>
                <w:lang w:eastAsia="zh-CN"/>
              </w:rPr>
            </w:pPr>
          </w:p>
        </w:tc>
        <w:tc>
          <w:tcPr>
            <w:tcW w:w="1257" w:type="dxa"/>
            <w:vAlign w:val="center"/>
          </w:tcPr>
          <w:p>
            <w:pPr>
              <w:rPr>
                <w:rFonts w:hint="eastAsia"/>
              </w:rPr>
            </w:pPr>
          </w:p>
        </w:tc>
        <w:tc>
          <w:tcPr>
            <w:tcW w:w="1269" w:type="dxa"/>
            <w:vAlign w:val="center"/>
          </w:tcPr>
          <w:p>
            <w:pPr>
              <w:rPr>
                <w:rFonts w:hint="eastAsia"/>
              </w:rPr>
            </w:pPr>
          </w:p>
        </w:tc>
        <w:tc>
          <w:tcPr>
            <w:tcW w:w="1553" w:type="dxa"/>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06" w:type="dxa"/>
            <w:gridSpan w:val="6"/>
            <w:vAlign w:val="center"/>
          </w:tcPr>
          <w:p>
            <w:pPr>
              <w:jc w:val="center"/>
            </w:pPr>
            <w:r>
              <w:rPr>
                <w:rFonts w:hint="eastAsia"/>
                <w:b/>
                <w:bCs/>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r>
              <w:rPr>
                <w:rFonts w:hint="eastAsia"/>
              </w:rPr>
              <w:t>1、编制情况简介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606" w:type="dxa"/>
            <w:gridSpan w:val="6"/>
          </w:tcPr>
          <w:p>
            <w:pPr>
              <w:widowControl/>
              <w:ind w:firstLine="420" w:firstLineChars="200"/>
              <w:jc w:val="left"/>
            </w:pPr>
            <w:r>
              <w:rPr>
                <w:rFonts w:hint="eastAsia" w:ascii="Arial" w:hAnsi="Arial" w:cs="Arial" w:eastAsiaTheme="minorEastAsia"/>
                <w:color w:val="000000"/>
              </w:rPr>
              <w:t xml:space="preserve"> </w:t>
            </w:r>
            <w:r>
              <w:t>（1）成立起草小组</w:t>
            </w:r>
          </w:p>
          <w:p>
            <w:pPr>
              <w:spacing w:line="360" w:lineRule="auto"/>
              <w:ind w:firstLine="420" w:firstLineChars="200"/>
              <w:rPr>
                <w:rFonts w:hint="eastAsia" w:ascii="Calibri" w:eastAsia="宋体"/>
                <w:highlight w:val="none"/>
                <w:lang w:val="en-US" w:eastAsia="zh-CN"/>
              </w:rPr>
            </w:pPr>
            <w:r>
              <w:rPr>
                <w:rFonts w:hint="eastAsia"/>
                <w:highlight w:val="none"/>
                <w:lang w:val="en-US" w:eastAsia="zh-CN"/>
              </w:rPr>
              <w:t>2023年5月，根据黄山市市场监督管理局《关于下达2023年度黄山市地方标准制修订计划的通知》，</w:t>
            </w:r>
            <w:r>
              <w:rPr>
                <w:highlight w:val="none"/>
              </w:rPr>
              <w:t>《</w:t>
            </w:r>
            <w:r>
              <w:rPr>
                <w:rFonts w:hint="eastAsia" w:ascii="Calibri" w:eastAsia="宋体"/>
                <w:highlight w:val="none"/>
                <w:lang w:val="en-US" w:eastAsia="zh-CN"/>
              </w:rPr>
              <w:t>旅游风景道建设指南</w:t>
            </w:r>
            <w:r>
              <w:rPr>
                <w:highlight w:val="none"/>
              </w:rPr>
              <w:t>》</w:t>
            </w:r>
            <w:r>
              <w:rPr>
                <w:rFonts w:hint="eastAsia"/>
                <w:highlight w:val="none"/>
                <w:lang w:val="en-US" w:eastAsia="zh-CN"/>
              </w:rPr>
              <w:t>地方标准获批立项</w:t>
            </w:r>
            <w:r>
              <w:rPr>
                <w:highlight w:val="none"/>
              </w:rPr>
              <w:t>。为保证标准</w:t>
            </w:r>
            <w:r>
              <w:t>编制工作的顺利进行，</w:t>
            </w:r>
            <w:r>
              <w:rPr>
                <w:rFonts w:hint="eastAsia"/>
              </w:rPr>
              <w:t>黄山市交通运输局、黄山市公路管理服务中心、黄山交投产业发展集团有限公司、中国计量大学黄山高质量发展研究院等单位组成</w:t>
            </w:r>
            <w:r>
              <w:t>标准编</w:t>
            </w:r>
            <w:r>
              <w:rPr>
                <w:rFonts w:hint="eastAsia" w:ascii="Calibri" w:eastAsia="宋体"/>
                <w:highlight w:val="none"/>
                <w:lang w:val="en-US" w:eastAsia="zh-CN"/>
              </w:rPr>
              <w:t>制起草小组。</w:t>
            </w:r>
          </w:p>
          <w:p>
            <w:pPr>
              <w:spacing w:line="360" w:lineRule="auto"/>
              <w:ind w:firstLine="420" w:firstLineChars="200"/>
            </w:pPr>
            <w:r>
              <w:t>（2）标准起草过程</w:t>
            </w:r>
          </w:p>
          <w:p>
            <w:pPr>
              <w:spacing w:line="360" w:lineRule="auto"/>
              <w:ind w:firstLine="420" w:firstLineChars="200"/>
            </w:pPr>
            <w:r>
              <w:rPr>
                <w:rFonts w:hint="eastAsia"/>
                <w:highlight w:val="none"/>
                <w:lang w:val="en-US" w:eastAsia="zh-CN"/>
              </w:rPr>
              <w:t>起草小组成立后，</w:t>
            </w:r>
            <w:r>
              <w:rPr>
                <w:highlight w:val="none"/>
              </w:rPr>
              <w:t>召开了起</w:t>
            </w:r>
            <w:r>
              <w:t>草小组工作组会议，会上介绍了任务来源，讨论了标准制定的总体思路，确定了标准起草的目的、意义及基本框架；起草组研讨与交流了</w:t>
            </w:r>
            <w:r>
              <w:rPr>
                <w:rFonts w:hint="eastAsia" w:ascii="Calibri" w:eastAsia="宋体"/>
                <w:lang w:val="en-US" w:eastAsia="zh-CN"/>
              </w:rPr>
              <w:t>旅游风景道建设指南标准的具体要求和建设目标，</w:t>
            </w:r>
            <w:r>
              <w:t>前往了多</w:t>
            </w:r>
            <w:r>
              <w:rPr>
                <w:rFonts w:hint="eastAsia" w:ascii="Calibri" w:eastAsia="宋体"/>
                <w:lang w:val="en-US" w:eastAsia="zh-CN"/>
              </w:rPr>
              <w:t>处旅游风景道进行</w:t>
            </w:r>
            <w:r>
              <w:t>调研，开展了几轮实地调查，并收集查阅相关资料和参考文献，形成工作组讨论稿。</w:t>
            </w:r>
          </w:p>
          <w:p>
            <w:pPr>
              <w:spacing w:line="360" w:lineRule="auto"/>
              <w:ind w:firstLine="420" w:firstLineChars="200"/>
            </w:pPr>
            <w:r>
              <w:t>（3）形成征求意见稿</w:t>
            </w:r>
          </w:p>
          <w:p>
            <w:pPr>
              <w:spacing w:line="360" w:lineRule="auto"/>
              <w:ind w:firstLine="420" w:firstLineChars="200"/>
            </w:pPr>
            <w:r>
              <w:t>标准起草小组</w:t>
            </w:r>
            <w:r>
              <w:rPr>
                <w:rFonts w:hint="eastAsia"/>
              </w:rPr>
              <w:t>通过线上形式</w:t>
            </w:r>
            <w:r>
              <w:t>组织召开《</w:t>
            </w:r>
            <w:r>
              <w:rPr>
                <w:rFonts w:hint="eastAsia" w:ascii="Calibri" w:eastAsia="宋体"/>
                <w:lang w:val="en-US" w:eastAsia="zh-CN"/>
              </w:rPr>
              <w:t>旅游风景道建设指南</w:t>
            </w:r>
            <w:r>
              <w:t>》内部研讨会，就标准的框架、内容等方面</w:t>
            </w:r>
            <w:r>
              <w:rPr>
                <w:rFonts w:hint="eastAsia"/>
              </w:rPr>
              <w:t>进一</w:t>
            </w:r>
            <w:r>
              <w:rPr>
                <w:rFonts w:hint="eastAsia"/>
                <w:lang w:val="en-US" w:eastAsia="zh-CN"/>
              </w:rPr>
              <w:t>步</w:t>
            </w:r>
            <w:r>
              <w:rPr>
                <w:rFonts w:hint="eastAsia"/>
              </w:rPr>
              <w:t>讨论与征求意见，对标准</w:t>
            </w:r>
            <w:r>
              <w:rPr>
                <w:rFonts w:hint="eastAsia"/>
                <w:lang w:val="en-US" w:eastAsia="zh-CN"/>
              </w:rPr>
              <w:t>做</w:t>
            </w:r>
            <w:r>
              <w:rPr>
                <w:rFonts w:hint="eastAsia"/>
              </w:rPr>
              <w:t>进一步修改完善，形成标准征求意见稿。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606" w:type="dxa"/>
            <w:gridSpan w:val="6"/>
            <w:vAlign w:val="center"/>
          </w:tcPr>
          <w:p>
            <w:r>
              <w:rPr>
                <w:rFonts w:hint="eastAsia"/>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必要性：</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近年来，中央和地方政府多方筹集资金加快高速公路网特别是国道主干线系统建设，公路建设在国内得到快速发展。与此同时，旅游业也在取得突飞猛进的发展，尤其是近年来自驾车旅游更是成为一个发展趋势和潮流。改变道路单一的交通功能，强化道路使用者和旅游者旅行途中的景观观赏功能，将旅行成本转变为旅行收益成本，呼唤着在道路建设与旅游游憩、景观功能，生态保护等方面更加有机地结合。风景道所具有的交通、景观、游憩、历史、文化、自然和文物价值等多重功能，正是顺应了这一时代的发展潮流和趋势。通过构建国家风景道体系，遵循风景道的规划原则，使得公路的勘测、规划设计及运营管理能够充分地体现生态原则、景观原则和可持续发展原则，能够有效地促进我国道路建设、旅游游憩、文化遗产和生态环境保护的有机结合，对于指导我国道路规划、实施和管理的实践工作，促进其健康、持续发展具有十分重要的理论意义和实践价值。</w:t>
            </w:r>
          </w:p>
          <w:p>
            <w:pPr>
              <w:spacing w:line="360" w:lineRule="auto"/>
              <w:ind w:firstLine="422"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asciiTheme="minorEastAsia" w:hAnsiTheme="minorEastAsia" w:eastAsiaTheme="minorEastAsia" w:cstheme="minorEastAsia"/>
                <w:color w:val="000000" w:themeColor="text1"/>
                <w:szCs w:val="21"/>
                <w14:textFill>
                  <w14:solidFill>
                    <w14:schemeClr w14:val="tx1"/>
                  </w14:solidFill>
                </w14:textFill>
              </w:rPr>
              <w:t>通过制定、实施该地方标准，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确保</w:t>
            </w:r>
            <w:r>
              <w:rPr>
                <w:rFonts w:hint="default" w:asciiTheme="minorEastAsia" w:hAnsiTheme="minorEastAsia" w:eastAsiaTheme="minorEastAsia" w:cstheme="minorEastAsia"/>
                <w:color w:val="000000" w:themeColor="text1"/>
                <w:szCs w:val="21"/>
                <w:lang w:eastAsia="zh-CN"/>
                <w14:textFill>
                  <w14:solidFill>
                    <w14:schemeClr w14:val="tx1"/>
                  </w14:solidFill>
                </w14:textFill>
              </w:rPr>
              <w:t>科学指导旅游风景道高起点规划、高标准建设、高质量管理，培育具有示范性、引领性的旅游风景道</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，促进道路建设和文化传承、生态保护、旅游度假、产业扶贫等深度融合</w:t>
            </w:r>
            <w:r>
              <w:rPr>
                <w:rFonts w:hint="default" w:asciiTheme="minorEastAsia" w:hAnsiTheme="minorEastAsia" w:eastAsiaTheme="minorEastAsia" w:cstheme="minorEastAsia"/>
                <w:color w:val="000000" w:themeColor="text1"/>
                <w:szCs w:val="21"/>
                <w:lang w:eastAsia="zh-CN"/>
                <w14:textFill>
                  <w14:solidFill>
                    <w14:schemeClr w14:val="tx1"/>
                  </w14:solidFill>
                </w14:textFill>
              </w:rPr>
              <w:t>。</w:t>
            </w:r>
            <w: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t>本标准的制定与实施，有利于</w:t>
            </w:r>
            <w:r>
              <w:rPr>
                <w:rFonts w:hint="default" w:asciiTheme="minorEastAsia" w:hAnsiTheme="minorEastAsia" w:eastAsiaTheme="minorEastAsia" w:cstheme="minorEastAsia"/>
                <w:color w:val="000000" w:themeColor="text1"/>
                <w:szCs w:val="21"/>
                <w:lang w:eastAsia="zh-CN"/>
                <w14:textFill>
                  <w14:solidFill>
                    <w14:schemeClr w14:val="tx1"/>
                  </w14:solidFill>
                </w14:textFill>
              </w:rPr>
              <w:t>拓展交通设施旅游服务功能，加快推动皖南交通运输与旅游更深层次、更高质量融合发展，加快建设交通强省。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r>
              <w:rPr>
                <w:rFonts w:hint="eastAsia"/>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（一）制定原则</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标准的制定遵循“统一性、通用性、规范性、普适性”的原则，在标准要求与技术指标的设置上，结合了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旅游风景道建设</w:t>
            </w:r>
            <w:r>
              <w:rPr>
                <w:rFonts w:hint="eastAsia" w:asciiTheme="minorEastAsia" w:hAnsiTheme="minorEastAsia" w:eastAsiaTheme="minorEastAsia" w:cstheme="minorEastAsia"/>
                <w:color w:val="000000" w:themeColor="text1"/>
                <w:szCs w:val="21"/>
                <w14:textFill>
                  <w14:solidFill>
                    <w14:schemeClr w14:val="tx1"/>
                  </w14:solidFill>
                </w14:textFill>
              </w:rPr>
              <w:t>现状，又充分考虑到了市场需求以及标准的科学性、可操作性及前瞻性，使标准先进可行。通过执行本标准，能够对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对旅游风景道建设提供指导，推进乡村振兴和生态文明建设，推动文旅、交通、林业融合发展，引导旅游风景道健康有序高质量发展，</w:t>
            </w:r>
            <w:r>
              <w:rPr>
                <w:rFonts w:hint="eastAsia" w:asciiTheme="minorEastAsia" w:hAnsiTheme="minorEastAsia" w:eastAsiaTheme="minorEastAsia" w:cstheme="minorEastAsia"/>
                <w:color w:val="000000" w:themeColor="text1"/>
                <w:szCs w:val="21"/>
                <w14:textFill>
                  <w14:solidFill>
                    <w14:schemeClr w14:val="tx1"/>
                  </w14:solidFill>
                </w14:textFill>
              </w:rPr>
              <w:t>与现行法律、标准无冲突。</w:t>
            </w:r>
          </w:p>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（二）编制依据</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1.按照《GB/T 1.1-2020 标准化工作导则 第1部分：标准的结构和编写》的相关规定进行编写，在术语定义、结构版式以及单位符号等方面保持一致性。</w:t>
            </w:r>
          </w:p>
          <w:p>
            <w:pPr>
              <w:spacing w:line="360" w:lineRule="auto"/>
              <w:ind w:firstLine="420" w:firstLineChars="200"/>
            </w:pPr>
            <w:r>
              <w:rPr>
                <w:rFonts w:hint="eastAsia" w:asciiTheme="minorEastAsia" w:hAnsiTheme="minorEastAsia" w:eastAsiaTheme="minorEastAsia" w:cstheme="minorEastAsia"/>
                <w:color w:val="000000" w:themeColor="text1"/>
                <w:szCs w:val="21"/>
                <w14:textFill>
                  <w14:solidFill>
                    <w14:schemeClr w14:val="tx1"/>
                  </w14:solidFill>
                </w14:textFill>
              </w:rPr>
              <w:t>2.本标准中</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旅游风景道建设要求</w:t>
            </w:r>
            <w:r>
              <w:rPr>
                <w:rFonts w:hint="eastAsia" w:asciiTheme="minorEastAsia" w:hAnsiTheme="minorEastAsia" w:eastAsiaTheme="minorEastAsia" w:cstheme="minorEastAsia"/>
                <w:color w:val="000000" w:themeColor="text1"/>
                <w:szCs w:val="21"/>
                <w14:textFill>
                  <w14:solidFill>
                    <w14:schemeClr w14:val="tx1"/>
                  </w14:solidFill>
                </w14:textFill>
              </w:rPr>
              <w:t>的确定与标准内容的编制，结合了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旅游风景道发展的</w:t>
            </w:r>
            <w:r>
              <w:rPr>
                <w:rFonts w:hint="eastAsia" w:asciiTheme="minorEastAsia" w:hAnsiTheme="minorEastAsia" w:eastAsiaTheme="minorEastAsia" w:cstheme="minorEastAsia"/>
                <w:color w:val="000000" w:themeColor="text1"/>
                <w:szCs w:val="21"/>
                <w14:textFill>
                  <w14:solidFill>
                    <w14:schemeClr w14:val="tx1"/>
                  </w14:solidFill>
                </w14:textFill>
              </w:rPr>
              <w:t>现状和发展需求进行编写。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r>
              <w:rPr>
                <w:rFonts w:hint="eastAsia"/>
              </w:rPr>
              <w:t>4</w:t>
            </w:r>
            <w:r>
              <w:rPr>
                <w:rFonts w:hint="eastAsia"/>
                <w:highlight w:val="none"/>
              </w:rPr>
              <w:t>、主要条款的说明，主要技术指标、参数、试验验证的论述（详细说明）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本标准的章节由：范围、规范性引用文件、术语和定义、基本原则、基础设施建设、景观与文化建设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、游憩设施、配套服务、管理和评价与持续改进</w:t>
            </w:r>
            <w:r>
              <w:rPr>
                <w:rFonts w:hint="eastAsia" w:asciiTheme="minorEastAsia" w:hAnsiTheme="minorEastAsia" w:eastAsiaTheme="minorEastAsia" w:cstheme="minorEastAsia"/>
                <w:color w:val="000000" w:themeColor="text1"/>
                <w:sz w:val="21"/>
                <w:szCs w:val="21"/>
                <w14:textFill>
                  <w14:solidFill>
                    <w14:schemeClr w14:val="tx1"/>
                  </w14:solidFill>
                </w14:textFill>
              </w:rPr>
              <w:t>组成。其中“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础设施建设</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景观与文化建设</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游憩设施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配套服务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和“管理”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是本标准的主要技术内容。</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 术语和定义</w:t>
            </w:r>
          </w:p>
          <w:p>
            <w:pPr>
              <w:spacing w:line="360" w:lineRule="auto"/>
              <w:ind w:firstLine="422" w:firstLineChars="200"/>
              <w:rPr>
                <w:rFonts w:hint="eastAsia" w:ascii="Calibri" w:hAnsi="Calibri" w:eastAsia="宋体" w:cs="Times New Roman"/>
                <w:kern w:val="2"/>
                <w:sz w:val="21"/>
                <w:szCs w:val="24"/>
                <w:lang w:val="en-US" w:eastAsia="zh-CN" w:bidi="ar-SA"/>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3.1旅游风景道 tourist scenic roads</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旅游风景道是指位于风景优美地段，有一定长度并沿着特定方向延伸，路域通畅，视域范围内景观优良，游域范围内文化和旅游资源富集、服务设施齐全，串联旅游城镇、景区景点、传统村落、文保单位、产业园区及交通枢纽等旅游资源，形成廊道经济发展带，具有良好旅游体验，融合交通、景观、游憩和保护等多重功能，拉动旅游经济发展的复合型道路。</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3.2道班驿站 daoban post</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“道班”，原本是交通领域的专有名词，意指“公路或铁路养护组织”；道班驿站是指在公路道班基础上经升级改造后的便民服务驿站，具有停车、休憩、餐食、观光等服务功能。</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基本原则</w:t>
            </w:r>
          </w:p>
          <w:p>
            <w:pPr>
              <w:pStyle w:val="2"/>
              <w:ind w:left="0" w:leftChars="0"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本章节规定了旅游风景道建设的基本原则，旅游风景道的建设应以人为本，安全为先；因地制宜，统筹协调；简约集约，综合效益；绿色低碳，节能环保。</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5</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核心要素</w:t>
            </w:r>
          </w:p>
          <w:p>
            <w:pPr>
              <w:spacing w:line="360" w:lineRule="auto"/>
              <w:ind w:firstLine="420" w:firstLineChars="200"/>
              <w:rPr>
                <w:rFonts w:hint="eastAsia"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明确了道路</w:t>
            </w:r>
            <w:r>
              <w:rPr>
                <w:rFonts w:hint="eastAsia" w:cs="Times New Roman"/>
                <w:kern w:val="2"/>
                <w:sz w:val="21"/>
                <w:szCs w:val="24"/>
                <w:lang w:val="en-US" w:eastAsia="zh-CN" w:bidi="ar-SA"/>
              </w:rPr>
              <w:t>建设的核心要素，旅游风景道视域范围应可视性和观赏性强，符合“露” 、“透” 、“封” 、“诱”的特点。</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6主体工程</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6.1一般规定</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旅游风景道总体设计应论证确定公路及其组成的功能、技术标准、建设规模及建设方案，</w:t>
            </w:r>
            <w:r>
              <w:rPr>
                <w:rFonts w:hint="eastAsia" w:cs="Times New Roman"/>
                <w:kern w:val="2"/>
                <w:sz w:val="21"/>
                <w:szCs w:val="24"/>
                <w:lang w:val="en-US" w:eastAsia="zh-CN" w:bidi="ar-SA"/>
              </w:rPr>
              <w:t>因符合相关的标准</w:t>
            </w:r>
            <w:r>
              <w:rPr>
                <w:rFonts w:hint="eastAsia" w:ascii="Calibri" w:hAnsi="Calibri" w:eastAsia="宋体" w:cs="Times New Roman"/>
                <w:kern w:val="2"/>
                <w:sz w:val="21"/>
                <w:szCs w:val="24"/>
                <w:lang w:val="en-US" w:eastAsia="zh-CN" w:bidi="ar-SA"/>
              </w:rPr>
              <w:t>。</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6.2道路技术等级</w:t>
            </w:r>
          </w:p>
          <w:p>
            <w:pPr>
              <w:spacing w:line="360" w:lineRule="auto"/>
              <w:ind w:firstLine="420"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default" w:ascii="Calibri" w:hAnsi="Calibri" w:eastAsia="宋体" w:cs="Times New Roman"/>
                <w:kern w:val="2"/>
                <w:sz w:val="21"/>
                <w:szCs w:val="24"/>
                <w:lang w:val="en-US" w:eastAsia="zh-CN" w:bidi="ar-SA"/>
              </w:rPr>
              <w:t>明确了</w:t>
            </w:r>
            <w:r>
              <w:rPr>
                <w:rFonts w:hint="eastAsia" w:cs="Times New Roman"/>
                <w:kern w:val="2"/>
                <w:sz w:val="21"/>
                <w:szCs w:val="24"/>
                <w:lang w:val="en-US" w:eastAsia="zh-CN" w:bidi="ar-SA"/>
              </w:rPr>
              <w:t>道路改造时应符合的技术等级</w:t>
            </w:r>
            <w:r>
              <w:rPr>
                <w:rFonts w:hint="default" w:ascii="Calibri" w:hAnsi="Calibri" w:eastAsia="宋体" w:cs="Times New Roman"/>
                <w:kern w:val="2"/>
                <w:sz w:val="21"/>
                <w:szCs w:val="24"/>
                <w:lang w:val="en-US" w:eastAsia="zh-CN" w:bidi="ar-SA"/>
              </w:rPr>
              <w:t>要求</w:t>
            </w:r>
            <w:r>
              <w:rPr>
                <w:rFonts w:hint="eastAsia" w:cs="Times New Roman"/>
                <w:kern w:val="2"/>
                <w:sz w:val="21"/>
                <w:szCs w:val="24"/>
                <w:lang w:val="en-US" w:eastAsia="zh-CN" w:bidi="ar-SA"/>
              </w:rPr>
              <w:t>及相关标准</w:t>
            </w:r>
            <w:r>
              <w:rPr>
                <w:rFonts w:hint="default" w:ascii="Calibri" w:hAnsi="Calibri" w:eastAsia="宋体" w:cs="Times New Roman"/>
                <w:kern w:val="2"/>
                <w:sz w:val="21"/>
                <w:szCs w:val="24"/>
                <w:lang w:val="en-US" w:eastAsia="zh-CN" w:bidi="ar-SA"/>
              </w:rPr>
              <w:t>。</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6.3路线</w:t>
            </w:r>
          </w:p>
          <w:p>
            <w:pPr>
              <w:spacing w:line="360" w:lineRule="auto"/>
              <w:ind w:firstLine="420" w:firstLineChars="200"/>
              <w:rPr>
                <w:rFonts w:hint="default"/>
                <w:lang w:val="en-US" w:eastAsia="zh-CN"/>
              </w:rPr>
            </w:pPr>
            <w:r>
              <w:rPr>
                <w:rFonts w:hint="eastAsia" w:ascii="Calibri" w:hAnsi="Calibri" w:eastAsia="宋体" w:cs="Times New Roman"/>
                <w:kern w:val="2"/>
                <w:sz w:val="21"/>
                <w:szCs w:val="24"/>
                <w:lang w:val="en-US" w:eastAsia="zh-CN" w:bidi="ar-SA"/>
              </w:rPr>
              <w:t>明确了风景道路线应根据道路功能、类别、技术等级、交通量及组成等进行设计</w:t>
            </w:r>
            <w:r>
              <w:rPr>
                <w:rFonts w:hint="eastAsia" w:cs="Times New Roman"/>
                <w:kern w:val="2"/>
                <w:sz w:val="21"/>
                <w:szCs w:val="24"/>
                <w:lang w:val="en-US" w:eastAsia="zh-CN" w:bidi="ar-SA"/>
              </w:rPr>
              <w:t>，路线平、纵、横设计应符合现行标准的规定</w:t>
            </w:r>
            <w:r>
              <w:rPr>
                <w:rFonts w:hint="eastAsia" w:ascii="Calibri" w:hAnsi="Calibri" w:eastAsia="宋体" w:cs="Times New Roman"/>
                <w:kern w:val="2"/>
                <w:sz w:val="21"/>
                <w:szCs w:val="24"/>
                <w:lang w:val="en-US" w:eastAsia="zh-CN" w:bidi="ar-SA"/>
              </w:rPr>
              <w:t>。</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6.4路基工程</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明确了路基设计应体现“安全耐久、节约资源、环境和美”的理念。路基设计应充分考虑自然条件和地质水文条件等要求。</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6.5路面工程</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明确了旅游风景道面应满足强度和设计使用年限等要求。路面结构设计应组合合理，并根据地方材料、水文地质及使用功能合理确定设计参数，符合相关标准的规定。</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6.6桥涵隧道</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明确了旅游风景道桥梁及隧道设计宜依据地形条件及周边景色的基本要求，桥梁总体布置和桥孔布置应视觉连续，道路隧道洞门形式应与景观相协调。</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6.7中央分隔带</w:t>
            </w:r>
          </w:p>
          <w:p>
            <w:pPr>
              <w:spacing w:line="360" w:lineRule="auto"/>
              <w:ind w:firstLine="420" w:firstLineChars="200"/>
              <w:rPr>
                <w:rFonts w:hint="eastAsia"/>
                <w:lang w:val="en-US" w:eastAsia="zh-CN"/>
              </w:rPr>
            </w:pPr>
            <w:r>
              <w:rPr>
                <w:rFonts w:hint="eastAsia"/>
                <w:lang w:val="en-US" w:eastAsia="zh-CN"/>
              </w:rPr>
              <w:t>明确了旅游风景道中央分隔带应具有的作用作用、高度、设置地点等要求。</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6.8交叉口</w:t>
            </w:r>
          </w:p>
          <w:p>
            <w:pPr>
              <w:spacing w:line="360" w:lineRule="auto"/>
              <w:ind w:firstLine="420" w:firstLineChars="200"/>
              <w:rPr>
                <w:rFonts w:hint="eastAsia"/>
                <w:lang w:val="en-US" w:eastAsia="zh-CN"/>
              </w:rPr>
            </w:pPr>
            <w:r>
              <w:rPr>
                <w:rFonts w:hint="eastAsia"/>
                <w:lang w:val="en-US" w:eastAsia="zh-CN"/>
              </w:rPr>
              <w:t>明确了旅游风景道交叉口的设计原则，应根据当地人文历史、民俗风情特色开展景观设计，宣传特色资源。</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6.9安全设施</w:t>
            </w:r>
          </w:p>
          <w:p>
            <w:pPr>
              <w:spacing w:line="360" w:lineRule="auto"/>
              <w:ind w:firstLine="420" w:firstLineChars="200"/>
              <w:rPr>
                <w:rFonts w:hint="eastAsia"/>
                <w:lang w:val="en-US" w:eastAsia="zh-CN"/>
              </w:rPr>
            </w:pPr>
            <w:r>
              <w:rPr>
                <w:rFonts w:hint="eastAsia"/>
                <w:lang w:val="en-US" w:eastAsia="zh-CN"/>
              </w:rPr>
              <w:t>明确了旅游风景道安全设施应统筹协调、总体设计，优先采取主动安全措施。应严格执行国家和行业标准，包括警告、禁令、地面图形标线、指示和指路标志、旅游风景道标识系统，以及旅游区标志等。应符合 相关标准的规定。</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6.10绿化工程</w:t>
            </w:r>
          </w:p>
          <w:p>
            <w:pPr>
              <w:spacing w:line="360" w:lineRule="auto"/>
              <w:ind w:firstLine="420" w:firstLineChars="200"/>
              <w:rPr>
                <w:rFonts w:hint="eastAsia"/>
                <w:lang w:val="en-US" w:eastAsia="zh-CN"/>
              </w:rPr>
            </w:pPr>
            <w:r>
              <w:rPr>
                <w:rFonts w:hint="eastAsia"/>
                <w:lang w:val="en-US" w:eastAsia="zh-CN"/>
              </w:rPr>
              <w:t xml:space="preserve">明确了旅游风景道绿化设计宜采用乔、灌、草相结合，构成多形式、多层次、多色调的自然式配置模式，突出皖南特色，按照“露”“透”“封”“诱”的手法，改造路域景观。 </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7</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游径系统</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7.1一般规定</w:t>
            </w:r>
          </w:p>
          <w:p>
            <w:pPr>
              <w:spacing w:line="360" w:lineRule="auto"/>
              <w:ind w:firstLine="420" w:firstLineChars="200"/>
              <w:rPr>
                <w:rFonts w:hint="eastAsia"/>
                <w:lang w:val="en-US" w:eastAsia="zh-CN"/>
              </w:rPr>
            </w:pPr>
            <w:r>
              <w:rPr>
                <w:rFonts w:hint="eastAsia"/>
                <w:lang w:val="en-US" w:eastAsia="zh-CN"/>
              </w:rPr>
              <w:t>明确了旅游风景道游径系统规划设计应在严格执行自行车道和步道设计等行业标准、规范的基础上，规划设计应统筹考虑与车行系统、景观系统、配套服务设施之间的关系，建设应符合相关标准的规定。</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7.2路侧自行车道</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w:t>
            </w:r>
            <w:r>
              <w:rPr>
                <w:rFonts w:hint="eastAsia" w:cs="Times New Roman"/>
                <w:kern w:val="2"/>
                <w:sz w:val="21"/>
                <w:szCs w:val="24"/>
                <w:lang w:val="en-US" w:eastAsia="zh-CN" w:bidi="ar-SA"/>
              </w:rPr>
              <w:t>旅游</w:t>
            </w:r>
            <w:r>
              <w:rPr>
                <w:rFonts w:hint="eastAsia" w:ascii="Calibri" w:hAnsi="Calibri" w:eastAsia="宋体" w:cs="Times New Roman"/>
                <w:kern w:val="2"/>
                <w:sz w:val="21"/>
                <w:szCs w:val="24"/>
                <w:lang w:val="en-US" w:eastAsia="zh-CN" w:bidi="ar-SA"/>
              </w:rPr>
              <w:t>风景道路侧自行车道的设置地点、设施、标识牌和衔接要求。</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7.3路侧游步道</w:t>
            </w:r>
          </w:p>
          <w:p>
            <w:pPr>
              <w:spacing w:line="360" w:lineRule="auto"/>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明确了</w:t>
            </w:r>
            <w:r>
              <w:rPr>
                <w:rFonts w:hint="eastAsia" w:cs="Times New Roman"/>
                <w:kern w:val="2"/>
                <w:sz w:val="21"/>
                <w:szCs w:val="24"/>
                <w:lang w:val="en-US" w:eastAsia="zh-CN" w:bidi="ar-SA"/>
              </w:rPr>
              <w:t>旅游</w:t>
            </w:r>
            <w:r>
              <w:rPr>
                <w:rFonts w:hint="eastAsia" w:ascii="Calibri" w:hAnsi="Calibri" w:eastAsia="宋体" w:cs="Times New Roman"/>
                <w:kern w:val="2"/>
                <w:sz w:val="21"/>
                <w:szCs w:val="24"/>
                <w:lang w:val="en-US" w:eastAsia="zh-CN" w:bidi="ar-SA"/>
              </w:rPr>
              <w:t>风景道路侧游步道的设置地点、设施、标识牌和信息要求。</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8服务设施</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8.1</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一般规定</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w:t>
            </w:r>
            <w:r>
              <w:rPr>
                <w:rFonts w:hint="eastAsia" w:cs="Times New Roman"/>
                <w:kern w:val="2"/>
                <w:sz w:val="21"/>
                <w:szCs w:val="24"/>
                <w:lang w:val="en-US" w:eastAsia="zh-CN" w:bidi="ar-SA"/>
              </w:rPr>
              <w:t>应</w:t>
            </w:r>
            <w:r>
              <w:rPr>
                <w:rFonts w:hint="default" w:ascii="Calibri" w:hAnsi="Calibri" w:eastAsia="宋体" w:cs="Times New Roman"/>
                <w:kern w:val="2"/>
                <w:sz w:val="21"/>
                <w:szCs w:val="24"/>
                <w:lang w:val="en-US" w:eastAsia="zh-CN" w:bidi="ar-SA"/>
              </w:rPr>
              <w:t>充分利用原有或原规划的道路服务设施，尽可能减少新建工程。考虑不同地区的环境特点和交通需求特点，因地制宜采用差异化设计，充分结合沿线景区景点分布及旅游者主要流量流向情况</w:t>
            </w:r>
            <w:r>
              <w:rPr>
                <w:rFonts w:hint="eastAsia"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最大限度融入地方文化元素。</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8.2</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驿站</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明确了旅游风景道驿站</w:t>
            </w:r>
            <w:r>
              <w:rPr>
                <w:rFonts w:hint="eastAsia" w:ascii="Calibri" w:hAnsi="Calibri" w:eastAsia="宋体" w:cs="Times New Roman"/>
                <w:kern w:val="2"/>
                <w:sz w:val="21"/>
                <w:szCs w:val="24"/>
                <w:lang w:val="en-US" w:eastAsia="zh-CN" w:bidi="ar-SA"/>
              </w:rPr>
              <w:t>应具有的</w:t>
            </w:r>
            <w:r>
              <w:rPr>
                <w:rFonts w:hint="default" w:ascii="Calibri" w:hAnsi="Calibri" w:eastAsia="宋体" w:cs="Times New Roman"/>
                <w:kern w:val="2"/>
                <w:sz w:val="21"/>
                <w:szCs w:val="24"/>
                <w:lang w:val="en-US" w:eastAsia="zh-CN" w:bidi="ar-SA"/>
              </w:rPr>
              <w:t>功能</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驿站应充分利用道路沿线空置的闲置公用资源</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以“道班为家”的对公路道班进行空间重塑，以“爱驾徽州”为品牌构建黄山旅游目的地一体化的交通旅游服务系统</w:t>
            </w:r>
            <w:r>
              <w:rPr>
                <w:rFonts w:hint="eastAsia" w:ascii="Calibri" w:hAnsi="Calibri" w:eastAsia="宋体" w:cs="Times New Roman"/>
                <w:kern w:val="2"/>
                <w:sz w:val="21"/>
                <w:szCs w:val="24"/>
                <w:lang w:val="en-US" w:eastAsia="zh-CN" w:bidi="ar-SA"/>
              </w:rPr>
              <w:t>。</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8.3</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观景台</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明确了旅游风景道观景台的选址应充分考虑周围的视觉景观资源</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设计应符合绿色低碳理念，间距设置宜合理</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应与周边环境相协调。</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8.4</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休息区</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w:t>
            </w:r>
            <w:r>
              <w:rPr>
                <w:rFonts w:hint="eastAsia" w:ascii="Calibri" w:hAnsi="Calibri" w:eastAsia="宋体" w:cs="Times New Roman"/>
                <w:kern w:val="2"/>
                <w:sz w:val="21"/>
                <w:szCs w:val="24"/>
                <w:lang w:val="en-US" w:eastAsia="zh-CN" w:bidi="ar-SA"/>
              </w:rPr>
              <w:t>休息区</w:t>
            </w:r>
            <w:r>
              <w:rPr>
                <w:rFonts w:hint="default" w:ascii="Calibri" w:hAnsi="Calibri" w:eastAsia="宋体" w:cs="Times New Roman"/>
                <w:kern w:val="2"/>
                <w:sz w:val="21"/>
                <w:szCs w:val="24"/>
                <w:lang w:val="en-US" w:eastAsia="zh-CN" w:bidi="ar-SA"/>
              </w:rPr>
              <w:t>宜设置在邻近旅游风景道，旅游者视线范围内，安全、方便的地点。应在临近休息区之前设置清晰的休息区指示标识。</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8.5</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厕所</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明确了旅游风景道厕所</w:t>
            </w:r>
            <w:r>
              <w:rPr>
                <w:rFonts w:hint="eastAsia" w:cs="Times New Roman"/>
                <w:kern w:val="2"/>
                <w:sz w:val="21"/>
                <w:szCs w:val="24"/>
                <w:lang w:val="en-US" w:eastAsia="zh-CN" w:bidi="ar-SA"/>
              </w:rPr>
              <w:t>的设置地点</w:t>
            </w:r>
            <w:r>
              <w:rPr>
                <w:rFonts w:hint="default" w:ascii="Calibri" w:hAnsi="Calibri" w:eastAsia="宋体" w:cs="Times New Roman"/>
                <w:kern w:val="2"/>
                <w:sz w:val="21"/>
                <w:szCs w:val="24"/>
                <w:lang w:val="en-US" w:eastAsia="zh-CN" w:bidi="ar-SA"/>
              </w:rPr>
              <w:t>应与周边环境和建筑相协调，并设置清晰的厕所指示标识。厕所的建设和管理应符合 GB/T 18973 中最低基本要求。</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8.6</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沿途停车场（停车区）</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明确了旅游风景道沿途停车场（停车区）应选址于容易识别位置，宜沿道路路侧呈狭长带状布置港湾停车带。</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9</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路域景观</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0" w:name="_Hlk139985796"/>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9.1</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一般规定</w:t>
            </w:r>
          </w:p>
          <w:bookmarkEnd w:id="0"/>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明确了旅游风景道路域景观</w:t>
            </w:r>
            <w:r>
              <w:rPr>
                <w:rFonts w:hint="eastAsia" w:ascii="Calibri" w:hAnsi="Calibri" w:eastAsia="宋体" w:cs="Times New Roman"/>
                <w:kern w:val="2"/>
                <w:sz w:val="21"/>
                <w:szCs w:val="24"/>
                <w:lang w:val="en-US" w:eastAsia="zh-CN" w:bidi="ar-SA"/>
              </w:rPr>
              <w:t>建设的一般规定，</w:t>
            </w:r>
            <w:r>
              <w:rPr>
                <w:rFonts w:hint="default" w:ascii="Calibri" w:hAnsi="Calibri" w:eastAsia="宋体" w:cs="Times New Roman"/>
                <w:kern w:val="2"/>
                <w:sz w:val="21"/>
                <w:szCs w:val="24"/>
                <w:lang w:val="en-US" w:eastAsia="zh-CN" w:bidi="ar-SA"/>
              </w:rPr>
              <w:t>在保持景观布局结构完整的前提下进行规划设计，体现徽州特色</w:t>
            </w:r>
            <w:r>
              <w:rPr>
                <w:rFonts w:hint="eastAsia" w:ascii="Calibri" w:hAnsi="Calibri" w:eastAsia="宋体" w:cs="Times New Roman"/>
                <w:kern w:val="2"/>
                <w:sz w:val="21"/>
                <w:szCs w:val="24"/>
                <w:lang w:val="en-US" w:eastAsia="zh-CN" w:bidi="ar-SA"/>
              </w:rPr>
              <w:t>。</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9.2</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路域景观</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明确了旅游风景道廊道应进行整体设计，体现乡土风情、地域特色和历史文化。与周边乡村振兴计划相结合。植物配置遵从“自然性、乡土性与地方性”原则</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绿化植物应与原静态自然景观相协调、相包容、互支撑</w:t>
            </w:r>
            <w:r>
              <w:rPr>
                <w:rFonts w:hint="eastAsia" w:ascii="Calibri" w:hAnsi="Calibri" w:eastAsia="宋体" w:cs="Times New Roman"/>
                <w:kern w:val="2"/>
                <w:sz w:val="21"/>
                <w:szCs w:val="24"/>
                <w:lang w:val="en-US" w:eastAsia="zh-CN" w:bidi="ar-SA"/>
              </w:rPr>
              <w:t>。</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10</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标识与解说系统</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10.1</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设置原则</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明确了旅游风景道标识系统从属于国家标准规范，凡《道路交通标志和标线》（GB 5768.2—2022）有明确规定的，如标志版面颜色等，严格执行国标的有关规定； 凡国家标准没有规定的，</w:t>
            </w:r>
            <w:r>
              <w:rPr>
                <w:rFonts w:hint="eastAsia" w:ascii="Calibri" w:hAnsi="Calibri" w:eastAsia="宋体" w:cs="Times New Roman"/>
                <w:kern w:val="2"/>
                <w:sz w:val="21"/>
                <w:szCs w:val="24"/>
                <w:lang w:val="en-US" w:eastAsia="zh-CN" w:bidi="ar-SA"/>
              </w:rPr>
              <w:t>参考</w:t>
            </w:r>
            <w:r>
              <w:rPr>
                <w:rFonts w:hint="default" w:ascii="Calibri" w:hAnsi="Calibri" w:eastAsia="宋体" w:cs="Times New Roman"/>
                <w:kern w:val="2"/>
                <w:sz w:val="21"/>
                <w:szCs w:val="24"/>
                <w:lang w:val="en-US" w:eastAsia="zh-CN" w:bidi="ar-SA"/>
              </w:rPr>
              <w:t>《安徽皖南旅游风景道建设技术指引》</w:t>
            </w:r>
            <w:r>
              <w:rPr>
                <w:rFonts w:hint="eastAsia" w:ascii="Calibri" w:hAnsi="Calibri" w:eastAsia="宋体" w:cs="Times New Roman"/>
                <w:kern w:val="2"/>
                <w:sz w:val="21"/>
                <w:szCs w:val="24"/>
                <w:lang w:val="en-US" w:eastAsia="zh-CN" w:bidi="ar-SA"/>
              </w:rPr>
              <w:t>设置</w:t>
            </w:r>
            <w:r>
              <w:rPr>
                <w:rFonts w:hint="default" w:ascii="Calibri" w:hAnsi="Calibri" w:eastAsia="宋体" w:cs="Times New Roman"/>
                <w:kern w:val="2"/>
                <w:sz w:val="21"/>
                <w:szCs w:val="24"/>
                <w:lang w:val="en-US" w:eastAsia="zh-CN" w:bidi="ar-SA"/>
              </w:rPr>
              <w:t>考虑旅游风景道的特殊性，可适当进行创新。</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10.2</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系统设置</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明确了旅游风景道标识系统信息预告标识、指示标识、里程碑标识和旅游风景道身份标识</w:t>
            </w:r>
            <w:r>
              <w:rPr>
                <w:rFonts w:hint="eastAsia" w:ascii="Calibri" w:hAnsi="Calibri" w:eastAsia="宋体" w:cs="Times New Roman"/>
                <w:kern w:val="2"/>
                <w:sz w:val="21"/>
                <w:szCs w:val="24"/>
                <w:lang w:val="en-US" w:eastAsia="zh-CN" w:bidi="ar-SA"/>
              </w:rPr>
              <w:t>的设置要求</w:t>
            </w:r>
            <w:r>
              <w:rPr>
                <w:rFonts w:hint="default" w:ascii="Calibri" w:hAnsi="Calibri" w:eastAsia="宋体" w:cs="Times New Roman"/>
                <w:kern w:val="2"/>
                <w:sz w:val="21"/>
                <w:szCs w:val="24"/>
                <w:lang w:val="en-US" w:eastAsia="zh-CN" w:bidi="ar-SA"/>
              </w:rPr>
              <w:t>。设置信息预告标识用于预告前方转向地点的标志，旅游风景道旅游身份标识标志设置在道路起点和入口，解说系统应选址在醒目位置，应与周边环境相协调设置信息解说亭。</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运营管理</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11.1</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管养维护</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明确了旅游风景道应建立健全风景道养护管理机制，具有完善的养护设备，及时做好养护评价和管理工作。不同建设内容应由相应的部门分别承担其建设、管理及运维等。</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11.2</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安全与应急</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明确了旅游风景道应设立安全管理机构，建立健全安全管理制度</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相关安全管理部门应建立沟通协调机制</w:t>
            </w:r>
            <w:r>
              <w:rPr>
                <w:rFonts w:hint="eastAsia" w:ascii="Calibri" w:hAnsi="Calibri" w:eastAsia="宋体" w:cs="Times New Roman"/>
                <w:kern w:val="2"/>
                <w:sz w:val="21"/>
                <w:szCs w:val="24"/>
                <w:lang w:val="en-US" w:eastAsia="zh-CN" w:bidi="ar-SA"/>
              </w:rPr>
              <w:t>，机构内设施完备</w:t>
            </w:r>
            <w:r>
              <w:rPr>
                <w:rFonts w:hint="default" w:ascii="Calibri" w:hAnsi="Calibri" w:eastAsia="宋体" w:cs="Times New Roman"/>
                <w:kern w:val="2"/>
                <w:sz w:val="21"/>
                <w:szCs w:val="24"/>
                <w:lang w:val="en-US" w:eastAsia="zh-CN" w:bidi="ar-SA"/>
              </w:rPr>
              <w:t>。</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11.3</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游客管理</w:t>
            </w:r>
          </w:p>
          <w:p>
            <w:pPr>
              <w:spacing w:line="360" w:lineRule="auto"/>
              <w:ind w:firstLine="420" w:firstLineChars="200"/>
              <w:rPr>
                <w:rFonts w:hint="default"/>
                <w:lang w:val="en-US" w:eastAsia="zh-CN"/>
              </w:rPr>
            </w:pPr>
            <w:r>
              <w:rPr>
                <w:rFonts w:hint="default" w:ascii="Calibri" w:hAnsi="Calibri" w:eastAsia="宋体" w:cs="Times New Roman"/>
                <w:kern w:val="2"/>
                <w:sz w:val="21"/>
                <w:szCs w:val="24"/>
                <w:lang w:val="en-US" w:eastAsia="zh-CN" w:bidi="ar-SA"/>
              </w:rPr>
              <w:t>提出完善游客调查和评价机制，提升风景道体验满意度等要求。</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11.4</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维修与租赁</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明确了风景道维修与租赁相关要求</w:t>
            </w:r>
            <w:r>
              <w:rPr>
                <w:rFonts w:hint="eastAsia"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应充分依托和利用风景道沿线休憩点、驿站和交通枢纽处等景区景点设置维修与租赁设施，符合国家相关标准的规定。</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11.5</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环境与卫生</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明确了风景道环境与卫生相关要求。旅游风景道各类场所卫生均需达到国家标准 GB 37487的要求。</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11.6</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信息服务</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明确了风景道信息服务相关要求。宜建立专门的网站，提供全面关于旅游风景道的信息以及互动服务，由旅游信息咨询中心的工作人员负责网站的维护管理。</w:t>
            </w:r>
          </w:p>
          <w:p>
            <w:pPr>
              <w:spacing w:line="360" w:lineRule="auto"/>
              <w:ind w:firstLine="422" w:firstLineChars="200"/>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11.7</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客服与监督</w:t>
            </w:r>
          </w:p>
          <w:p>
            <w:pPr>
              <w:spacing w:line="360" w:lineRule="auto"/>
              <w:ind w:firstLine="420" w:firstLineChars="200"/>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明确了风景道客服与监督服务相关要求。应有专门处理游客投诉的管理程序和制度，为游客提供投诉服务，主动接受社会监督和主管部门检查，对存在问题及时整改。</w:t>
            </w:r>
          </w:p>
          <w:p>
            <w:pPr>
              <w:spacing w:line="360" w:lineRule="auto"/>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12评价与持续改进</w:t>
            </w:r>
          </w:p>
          <w:p>
            <w:pPr>
              <w:spacing w:line="360" w:lineRule="auto"/>
              <w:ind w:firstLine="420" w:firstLineChars="200"/>
              <w:rPr>
                <w:rFonts w:hint="default" w:cs="Times New Roman"/>
                <w:kern w:val="2"/>
                <w:sz w:val="21"/>
                <w:szCs w:val="24"/>
                <w:lang w:val="en-US" w:eastAsia="zh-CN" w:bidi="ar-SA"/>
              </w:rPr>
            </w:pPr>
            <w:r>
              <w:rPr>
                <w:rFonts w:hint="eastAsia" w:cs="Times New Roman"/>
                <w:kern w:val="2"/>
                <w:sz w:val="21"/>
                <w:szCs w:val="24"/>
                <w:lang w:val="en-US" w:eastAsia="zh-CN" w:bidi="ar-SA"/>
              </w:rPr>
              <w:t>提出了建立健全内部评价细则，明确了风景道营运和发展的社会评价的内容。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（二）标准技术水平的说明</w:t>
            </w:r>
          </w:p>
          <w:p>
            <w:pPr>
              <w:spacing w:line="360" w:lineRule="auto"/>
              <w:ind w:firstLine="420" w:firstLineChars="200"/>
            </w:pP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CN"/>
              </w:rPr>
              <w:t>市</w:t>
            </w:r>
            <w:r>
              <w:rPr>
                <w:rFonts w:hint="eastAsia" w:asciiTheme="minorEastAsia" w:hAnsiTheme="minorEastAsia" w:eastAsiaTheme="minorEastAsia" w:cstheme="minorEastAsia"/>
                <w:sz w:val="21"/>
                <w:szCs w:val="21"/>
              </w:rPr>
              <w:t>没有</w:t>
            </w:r>
            <w:r>
              <w:rPr>
                <w:rFonts w:hint="eastAsia" w:asciiTheme="minorEastAsia" w:hAnsiTheme="minorEastAsia" w:eastAsiaTheme="minorEastAsia" w:cstheme="minorEastAsia"/>
                <w:sz w:val="21"/>
                <w:szCs w:val="21"/>
                <w:lang w:val="en-US" w:eastAsia="zh-CN"/>
              </w:rPr>
              <w:t>旅游风景道建设指南</w:t>
            </w:r>
            <w:r>
              <w:rPr>
                <w:rFonts w:hint="eastAsia" w:asciiTheme="minorEastAsia" w:hAnsiTheme="minorEastAsia" w:eastAsiaTheme="minorEastAsia" w:cstheme="minorEastAsia"/>
                <w:sz w:val="21"/>
                <w:szCs w:val="21"/>
              </w:rPr>
              <w:t>相关标准，标准内容上符合</w:t>
            </w:r>
            <w:r>
              <w:rPr>
                <w:rFonts w:hint="eastAsia" w:asciiTheme="minorEastAsia" w:hAnsiTheme="minorEastAsia" w:eastAsiaTheme="minorEastAsia" w:cstheme="minorEastAsia"/>
                <w:sz w:val="21"/>
                <w:szCs w:val="21"/>
                <w:lang w:val="en-US" w:eastAsia="zh-CN"/>
              </w:rPr>
              <w:t>黄山市</w:t>
            </w:r>
            <w:r>
              <w:rPr>
                <w:rFonts w:hint="eastAsia" w:asciiTheme="minorEastAsia" w:hAnsiTheme="minorEastAsia" w:eastAsiaTheme="minorEastAsia" w:cstheme="minorEastAsia"/>
                <w:sz w:val="21"/>
                <w:szCs w:val="21"/>
              </w:rPr>
              <w:t>地方发展需求，标准主要内容</w:t>
            </w:r>
            <w:r>
              <w:rPr>
                <w:rFonts w:hint="eastAsia" w:asciiTheme="minorEastAsia" w:hAnsiTheme="minorEastAsia" w:eastAsiaTheme="minorEastAsia" w:cstheme="minorEastAsia"/>
                <w:sz w:val="21"/>
                <w:szCs w:val="21"/>
                <w:lang w:val="en-US" w:eastAsia="zh-CN"/>
              </w:rPr>
              <w:t>主要是对旅游风景道建设的要求，涉及建设基础设施的要求以及配套服务要求，从而培育具有示范性、引领性的旅游风景道。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06" w:type="dxa"/>
            <w:gridSpan w:val="6"/>
            <w:vAlign w:val="center"/>
          </w:tcPr>
          <w:p>
            <w:r>
              <w:rPr>
                <w:rFonts w:hint="eastAsia"/>
              </w:rPr>
              <w:t>5、标准中涉及专利，应有明确的知识产权说明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ind w:firstLine="420" w:firstLineChars="200"/>
            </w:pPr>
            <w:r>
              <w:rPr>
                <w:rFonts w:hint="eastAsia"/>
              </w:rPr>
              <w:t>本标准不涉及专利和知识产权方面。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606" w:type="dxa"/>
            <w:gridSpan w:val="6"/>
            <w:vAlign w:val="center"/>
          </w:tcPr>
          <w:p>
            <w:r>
              <w:rPr>
                <w:rFonts w:hint="eastAsia"/>
              </w:rPr>
              <w:t>6、采用国际标准或国外先进标准的，说明采标过程，以及国内外同类标准水平的对比情况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r>
              <w:rPr>
                <w:rFonts w:hint="eastAsia"/>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ind w:firstLine="420" w:firstLineChars="200"/>
            </w:pPr>
            <w:r>
              <w:rPr>
                <w:rFonts w:hint="eastAsia"/>
              </w:rPr>
              <w:t>标准在编制过程中没有重大意见分歧。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r>
              <w:rPr>
                <w:rFonts w:hint="eastAsia"/>
              </w:rPr>
              <w:t>8、贯彻标准的要求和措施建议（包括组织措施、技术措施、过渡办法、实施日期等）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rPr>
                <w:rFonts w:hint="default" w:ascii="Times New Roman" w:hAnsi="Times New Roman" w:cs="Times New Roman"/>
                <w:kern w:val="0"/>
              </w:rPr>
            </w:pPr>
            <w:r>
              <w:rPr>
                <w:rFonts w:hint="eastAsia"/>
              </w:rPr>
              <w:t xml:space="preserve"> </w:t>
            </w:r>
            <w:r>
              <w:rPr>
                <w:rFonts w:hint="default" w:ascii="Times New Roman" w:hAnsi="Times New Roman" w:cs="Times New Roman"/>
              </w:rPr>
              <w:t xml:space="preserve"> </w:t>
            </w:r>
            <w:r>
              <w:rPr>
                <w:rFonts w:hint="default" w:ascii="Times New Roman" w:hAnsi="Times New Roman" w:cs="Times New Roman"/>
                <w:kern w:val="0"/>
              </w:rPr>
              <w:t>1.由标准归口单位牵头，起草单位具体实施，开展该标准的宣贯；</w:t>
            </w:r>
          </w:p>
          <w:p>
            <w:pPr>
              <w:ind w:firstLine="210" w:firstLineChars="100"/>
            </w:pPr>
            <w:r>
              <w:rPr>
                <w:rFonts w:hint="default" w:ascii="Times New Roman" w:hAnsi="Times New Roman" w:cs="Times New Roman"/>
              </w:rPr>
              <w:t>2.标准起草单位应继续开展研究，改进和完善标准的相关内容。</w:t>
            </w:r>
            <w:r>
              <w:rPr>
                <w:rFonts w:hint="default" w:ascii="Times New Roman" w:hAnsi="Times New Roman" w:cs="Times New Roman"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pPr>
              <w:widowControl/>
            </w:pPr>
            <w:r>
              <w:rPr>
                <w:rFonts w:hint="eastAsia" w:ascii="宋体" w:hAnsi="宋体" w:cs="宋体"/>
                <w:color w:val="000000"/>
                <w:kern w:val="0"/>
                <w:szCs w:val="21"/>
              </w:rPr>
              <w:t>9、废止现行相关标准的建议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ind w:firstLine="210" w:firstLineChars="1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06" w:type="dxa"/>
            <w:gridSpan w:val="6"/>
            <w:vAlign w:val="center"/>
          </w:tcPr>
          <w:p>
            <w:pPr>
              <w:widowControl/>
            </w:pPr>
            <w:r>
              <w:rPr>
                <w:rFonts w:hint="eastAsia" w:ascii="宋体" w:hAnsi="宋体" w:cs="宋体"/>
                <w:color w:val="000000"/>
                <w:kern w:val="0"/>
                <w:szCs w:val="21"/>
              </w:rPr>
              <w:t xml:space="preserve">10、其它应予说明的事项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ind w:firstLine="210" w:firstLineChars="100"/>
            </w:pPr>
            <w:r>
              <w:rPr>
                <w:rFonts w:hint="eastAsia"/>
              </w:rPr>
              <w:t>无。</w:t>
            </w:r>
          </w:p>
        </w:tc>
      </w:tr>
    </w:tbl>
    <w:p/>
    <w:p>
      <w:pPr>
        <w:widowControl/>
        <w:jc w:val="left"/>
      </w:pPr>
      <w:r>
        <w:rPr>
          <w:rFonts w:ascii="黑体" w:hAnsi="宋体" w:eastAsia="黑体" w:cs="黑体"/>
          <w:color w:val="000000"/>
          <w:kern w:val="0"/>
          <w:sz w:val="18"/>
          <w:szCs w:val="18"/>
        </w:rPr>
        <w:t>注：</w:t>
      </w:r>
      <w:r>
        <w:rPr>
          <w:rFonts w:hint="eastAsia" w:ascii="宋体" w:hAnsi="宋体" w:cs="宋体"/>
          <w:color w:val="000000"/>
          <w:kern w:val="0"/>
          <w:sz w:val="18"/>
          <w:szCs w:val="18"/>
        </w:rPr>
        <w:t xml:space="preserve">没有的请填写 “无”。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2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jg5ZDU2NjhhOGMwMjUwNDU0Mjc4MTdlZjRmODQifQ=="/>
  </w:docVars>
  <w:rsids>
    <w:rsidRoot w:val="44280228"/>
    <w:rsid w:val="0270296F"/>
    <w:rsid w:val="07E27627"/>
    <w:rsid w:val="09DB204C"/>
    <w:rsid w:val="15611DD0"/>
    <w:rsid w:val="2000198D"/>
    <w:rsid w:val="2EB17F57"/>
    <w:rsid w:val="2ED45896"/>
    <w:rsid w:val="35D01BC9"/>
    <w:rsid w:val="42E26A55"/>
    <w:rsid w:val="44280228"/>
    <w:rsid w:val="4BE95500"/>
    <w:rsid w:val="57A00D7F"/>
    <w:rsid w:val="58151F45"/>
    <w:rsid w:val="581F37ED"/>
    <w:rsid w:val="596B0B42"/>
    <w:rsid w:val="71816E6E"/>
    <w:rsid w:val="74F579F0"/>
    <w:rsid w:val="75302BD8"/>
    <w:rsid w:val="755F18B3"/>
    <w:rsid w:val="7D09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link w:val="12"/>
    <w:qFormat/>
    <w:uiPriority w:val="0"/>
    <w:pPr>
      <w:keepNext/>
      <w:keepLines/>
      <w:spacing w:before="240" w:after="0"/>
      <w:jc w:val="left"/>
      <w:outlineLvl w:val="0"/>
    </w:pPr>
    <w:rPr>
      <w:rFonts w:ascii="Times New Roman" w:hAnsi="Times New Roman" w:eastAsia="黑体" w:cs="Times New Roman"/>
      <w:bCs/>
      <w:color w:val="2F5496"/>
      <w:kern w:val="36"/>
      <w:sz w:val="28"/>
      <w:szCs w:val="48"/>
      <w:lang w:eastAsia="en-US"/>
    </w:rPr>
  </w:style>
  <w:style w:type="paragraph" w:styleId="6">
    <w:name w:val="heading 2"/>
    <w:basedOn w:val="5"/>
    <w:next w:val="1"/>
    <w:link w:val="13"/>
    <w:semiHidden/>
    <w:unhideWhenUsed/>
    <w:qFormat/>
    <w:uiPriority w:val="0"/>
    <w:pPr>
      <w:keepNext/>
      <w:keepLines/>
      <w:spacing w:before="40" w:after="0"/>
      <w:ind w:leftChars="200"/>
      <w:jc w:val="left"/>
      <w:outlineLvl w:val="1"/>
    </w:pPr>
    <w:rPr>
      <w:rFonts w:ascii="Times New Roman" w:hAnsi="Times New Roman" w:eastAsia="黑体" w:cs="Times New Roman"/>
      <w:bCs/>
      <w:color w:val="2F5496"/>
      <w:sz w:val="24"/>
      <w:szCs w:val="36"/>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afterLines="0" w:afterAutospacing="0"/>
      <w:ind w:left="420" w:leftChars="200" w:firstLine="420" w:firstLineChars="200"/>
      <w:jc w:val="both"/>
    </w:pPr>
    <w:rPr>
      <w:rFonts w:ascii="Times New Roman" w:hAnsi="Times New Roman" w:eastAsia="仿宋" w:cs="Times New Roman"/>
      <w:kern w:val="2"/>
      <w:sz w:val="24"/>
      <w:szCs w:val="24"/>
      <w:lang w:val="en-US" w:eastAsia="zh-CN" w:bidi="ar-SA"/>
    </w:rPr>
  </w:style>
  <w:style w:type="paragraph" w:styleId="3">
    <w:name w:val="Body Text Indent"/>
    <w:basedOn w:val="1"/>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toc 1"/>
    <w:basedOn w:val="1"/>
    <w:next w:val="1"/>
    <w:qFormat/>
    <w:uiPriority w:val="0"/>
    <w:pPr>
      <w:ind w:leftChars="0"/>
    </w:pPr>
    <w:rPr>
      <w:rFonts w:eastAsia="宋体" w:asciiTheme="minorAscii" w:hAnsiTheme="minorAscii"/>
      <w:sz w:val="32"/>
    </w:rPr>
  </w:style>
  <w:style w:type="paragraph" w:styleId="8">
    <w:name w:val="toc 2"/>
    <w:basedOn w:val="1"/>
    <w:next w:val="1"/>
    <w:qFormat/>
    <w:uiPriority w:val="0"/>
    <w:pPr>
      <w:ind w:left="420" w:leftChars="100"/>
    </w:pPr>
    <w:rPr>
      <w:rFonts w:eastAsia="宋体" w:asciiTheme="minorAscii" w:hAnsiTheme="minorAscii"/>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Heading 1 Char"/>
    <w:basedOn w:val="11"/>
    <w:link w:val="4"/>
    <w:qFormat/>
    <w:uiPriority w:val="9"/>
    <w:rPr>
      <w:rFonts w:ascii="Times New Roman" w:hAnsi="Times New Roman" w:eastAsia="黑体" w:cs="Times New Roman"/>
      <w:color w:val="2F5496"/>
      <w:sz w:val="28"/>
      <w:szCs w:val="32"/>
      <w:lang w:eastAsia="en-US"/>
    </w:rPr>
  </w:style>
  <w:style w:type="character" w:customStyle="1" w:styleId="13">
    <w:name w:val="Heading 2 Char"/>
    <w:basedOn w:val="11"/>
    <w:link w:val="6"/>
    <w:qFormat/>
    <w:uiPriority w:val="9"/>
    <w:rPr>
      <w:rFonts w:ascii="Times New Roman" w:hAnsi="Times New Roman" w:eastAsia="黑体" w:cs="Times New Roman"/>
      <w:color w:val="2F5496"/>
      <w:sz w:val="24"/>
      <w:szCs w:val="26"/>
      <w:lang w:eastAsia="en-US"/>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文件_一级条标题"/>
    <w:basedOn w:val="17"/>
    <w:next w:val="14"/>
    <w:qFormat/>
    <w:uiPriority w:val="0"/>
    <w:pPr>
      <w:numPr>
        <w:ilvl w:val="2"/>
      </w:numPr>
      <w:spacing w:beforeLines="50" w:afterLines="50"/>
      <w:outlineLvl w:val="1"/>
    </w:pPr>
  </w:style>
  <w:style w:type="paragraph" w:customStyle="1" w:styleId="17">
    <w:name w:val="标准文件_章标题"/>
    <w:next w:val="1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8">
    <w:name w:val="标准文件_术语条一"/>
    <w:basedOn w:val="19"/>
    <w:next w:val="14"/>
    <w:qFormat/>
    <w:uiPriority w:val="0"/>
  </w:style>
  <w:style w:type="paragraph" w:customStyle="1" w:styleId="19">
    <w:name w:val="标准文件_一级无标题"/>
    <w:basedOn w:val="16"/>
    <w:qFormat/>
    <w:uiPriority w:val="0"/>
    <w:pPr>
      <w:spacing w:beforeLines="0" w:afterLines="0"/>
      <w:outlineLvl w:val="9"/>
    </w:pPr>
    <w:rPr>
      <w:rFonts w:ascii="宋体" w:eastAsia="宋体"/>
    </w:rPr>
  </w:style>
  <w:style w:type="paragraph" w:customStyle="1" w:styleId="20">
    <w:name w:val="标准文件_二级无标题"/>
    <w:basedOn w:val="21"/>
    <w:qFormat/>
    <w:uiPriority w:val="0"/>
    <w:pPr>
      <w:spacing w:beforeLines="0" w:afterLines="0"/>
      <w:outlineLvl w:val="9"/>
    </w:pPr>
    <w:rPr>
      <w:rFonts w:ascii="宋体" w:eastAsia="宋体"/>
    </w:rPr>
  </w:style>
  <w:style w:type="paragraph" w:customStyle="1" w:styleId="21">
    <w:name w:val="标准文件_二级条标题"/>
    <w:next w:val="1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2">
    <w:name w:val="标准文件_一级项"/>
    <w:qFormat/>
    <w:uiPriority w:val="0"/>
    <w:pPr>
      <w:numPr>
        <w:ilvl w:val="0"/>
        <w:numId w:val="2"/>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4569</Words>
  <Characters>4722</Characters>
  <Lines>0</Lines>
  <Paragraphs>0</Paragraphs>
  <TotalTime>5</TotalTime>
  <ScaleCrop>false</ScaleCrop>
  <LinksUpToDate>false</LinksUpToDate>
  <CharactersWithSpaces>4756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2023-05-22T08:54:00Z</dcterms:created>
  <dc:creator>风月</dc:creator>
  <cp:lastModifiedBy>11</cp:lastModifiedBy>
  <dcterms:modified xsi:type="dcterms:W3CDTF">2023-11-10T02:59:54Z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DA13694894E04D099CFA34B48B6D5EB3_13</vt:lpwstr>
  </property>
</Properties>
</file>